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B50" w:rsidRDefault="006E11C9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92B50">
        <w:rPr>
          <w:rFonts w:ascii="Times New Roman" w:eastAsia="Times New Roman" w:hAnsi="Times New Roman" w:cs="Times New Roman"/>
          <w:noProof/>
          <w:snapToGrid w:val="0"/>
          <w:sz w:val="24"/>
          <w:szCs w:val="20"/>
          <w:lang w:val="bg-BG" w:eastAsia="bg-BG"/>
        </w:rPr>
        <w:drawing>
          <wp:anchor distT="0" distB="0" distL="114300" distR="114300" simplePos="0" relativeHeight="251657216" behindDoc="0" locked="0" layoutInCell="1" allowOverlap="1" wp14:anchorId="19434F5A" wp14:editId="46480051">
            <wp:simplePos x="0" y="0"/>
            <wp:positionH relativeFrom="column">
              <wp:posOffset>307975</wp:posOffset>
            </wp:positionH>
            <wp:positionV relativeFrom="paragraph">
              <wp:posOffset>49530</wp:posOffset>
            </wp:positionV>
            <wp:extent cx="1008380" cy="1043940"/>
            <wp:effectExtent l="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B50">
        <w:rPr>
          <w:rFonts w:ascii="Times New Roman" w:eastAsia="Times New Roman" w:hAnsi="Times New Roman" w:cs="Times New Roman"/>
          <w:noProof/>
          <w:snapToGrid w:val="0"/>
          <w:sz w:val="24"/>
          <w:szCs w:val="20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53410E59" wp14:editId="01D04DE5">
            <wp:simplePos x="0" y="0"/>
            <wp:positionH relativeFrom="column">
              <wp:posOffset>4858385</wp:posOffset>
            </wp:positionH>
            <wp:positionV relativeFrom="paragraph">
              <wp:posOffset>123190</wp:posOffset>
            </wp:positionV>
            <wp:extent cx="1017905" cy="8712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1C9" w:rsidRPr="006E11C9" w:rsidRDefault="006E11C9" w:rsidP="006E11C9">
      <w:pPr>
        <w:pBdr>
          <w:bottom w:val="single" w:sz="4" w:space="1" w:color="auto"/>
        </w:pBdr>
        <w:tabs>
          <w:tab w:val="left" w:pos="375"/>
          <w:tab w:val="center" w:pos="4536"/>
          <w:tab w:val="center" w:pos="4960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val="bg-BG" w:eastAsia="bg-BG"/>
        </w:rPr>
      </w:pPr>
      <w:r w:rsidRPr="00C92B50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en-GB"/>
        </w:rPr>
        <w:drawing>
          <wp:inline distT="0" distB="0" distL="0" distR="0" wp14:anchorId="1086E0C0" wp14:editId="2168F2C7">
            <wp:extent cx="628650" cy="62865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B50" w:rsidRDefault="00C92B50" w:rsidP="00C92B50">
      <w:pPr>
        <w:pBdr>
          <w:bottom w:val="single" w:sz="4" w:space="1" w:color="auto"/>
        </w:pBdr>
        <w:tabs>
          <w:tab w:val="left" w:pos="375"/>
          <w:tab w:val="center" w:pos="4536"/>
          <w:tab w:val="center" w:pos="4960"/>
          <w:tab w:val="right" w:pos="9072"/>
        </w:tabs>
        <w:spacing w:after="0" w:line="240" w:lineRule="auto"/>
        <w:jc w:val="center"/>
        <w:rPr>
          <w:rFonts w:ascii="Calibri Light" w:eastAsia="Times New Roman" w:hAnsi="Calibri Light" w:cs="Calibri Light"/>
          <w:noProof/>
          <w:color w:val="002060"/>
          <w:sz w:val="16"/>
          <w:szCs w:val="16"/>
          <w:lang w:val="bg-BG" w:eastAsia="bg-BG"/>
        </w:rPr>
      </w:pPr>
      <w:bookmarkStart w:id="0" w:name="_Hlk518295019"/>
      <w:r w:rsidRPr="00C92B50">
        <w:rPr>
          <w:rFonts w:ascii="Calibri Light" w:eastAsia="Times New Roman" w:hAnsi="Calibri Light" w:cs="Calibri Light"/>
          <w:noProof/>
          <w:color w:val="002060"/>
          <w:sz w:val="16"/>
          <w:szCs w:val="16"/>
          <w:lang w:val="bg-BG" w:eastAsia="bg-BG"/>
        </w:rPr>
        <w:t>МИГ ЛОМ</w:t>
      </w:r>
    </w:p>
    <w:bookmarkEnd w:id="0"/>
    <w:p w:rsidR="00CB189B" w:rsidRPr="00C92B50" w:rsidRDefault="00CB189B" w:rsidP="00C92B50">
      <w:pPr>
        <w:pBdr>
          <w:bottom w:val="single" w:sz="4" w:space="1" w:color="auto"/>
        </w:pBdr>
        <w:tabs>
          <w:tab w:val="left" w:pos="375"/>
          <w:tab w:val="center" w:pos="4536"/>
          <w:tab w:val="center" w:pos="4960"/>
          <w:tab w:val="right" w:pos="9072"/>
        </w:tabs>
        <w:spacing w:after="0" w:line="240" w:lineRule="auto"/>
        <w:jc w:val="center"/>
        <w:rPr>
          <w:rFonts w:ascii="Calibri Light" w:eastAsia="Times New Roman" w:hAnsi="Calibri Light" w:cs="Calibri Light"/>
          <w:noProof/>
          <w:color w:val="002060"/>
          <w:sz w:val="16"/>
          <w:szCs w:val="16"/>
          <w:lang w:val="bg-BG" w:eastAsia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1" w:name="_GoBack"/>
      <w:bookmarkEnd w:id="1"/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9C5BBD" w:rsidRDefault="009C5BBD" w:rsidP="009C5BB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кандидатите по Оперативна Програма „Развитие на Човешките Ресурси“ 2014 – 2020 г. е разработена в изпълнение на член 125,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1268/2012.</w:t>
      </w: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9C5BBD" w:rsidRPr="0003315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315B">
        <w:rPr>
          <w:rFonts w:ascii="Times New Roman" w:hAnsi="Times New Roman" w:cs="Times New Roman"/>
          <w:sz w:val="24"/>
          <w:szCs w:val="24"/>
          <w:lang w:val="bg-BG"/>
        </w:rPr>
        <w:t>При подаване на проектни предложения кандидатите трябва да представят счетоводен баланс за текущата финансов</w:t>
      </w:r>
      <w:r w:rsidR="0003315B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03315B">
        <w:rPr>
          <w:rFonts w:ascii="Times New Roman" w:hAnsi="Times New Roman" w:cs="Times New Roman"/>
          <w:sz w:val="24"/>
          <w:szCs w:val="24"/>
          <w:lang w:val="bg-BG"/>
        </w:rPr>
        <w:t xml:space="preserve"> годин</w:t>
      </w:r>
      <w:r w:rsidR="0003315B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03315B">
        <w:rPr>
          <w:rStyle w:val="af2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Pr="0003315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9C5BBD" w:rsidRDefault="009C5BBD" w:rsidP="009C5BB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 установи, че са налице индикации за затруднено финансово положение на кандидата, комисията ще отхвърли проектното предложение на етап „Административно съответствие и допустимост“.</w:t>
      </w: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Оценката за финансова стабилност дава информация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Оценката се основава на няколко коефициента: </w:t>
      </w:r>
    </w:p>
    <w:p w:rsidR="009C5BBD" w:rsidRPr="0090257B" w:rsidRDefault="009C5BBD" w:rsidP="009C5BBD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:rsidR="009C5BBD" w:rsidRPr="0090257B" w:rsidRDefault="009C5BBD" w:rsidP="009C5BBD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коефициент за рентабилност. </w:t>
      </w:r>
    </w:p>
    <w:p w:rsidR="009C5BBD" w:rsidRPr="0090257B" w:rsidRDefault="009C5BBD" w:rsidP="009C5BBD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 специфичните характеристики на кандидатите и може да бъде използвана за организации с различни юридически форми от търговски </w:t>
      </w:r>
      <w:r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:rsidR="009C5BBD" w:rsidRPr="0090257B" w:rsidRDefault="009C5BBD" w:rsidP="009C5BBD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9C5BBD" w:rsidRPr="00E2541E" w:rsidRDefault="009C5BBD" w:rsidP="009C5BBD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:rsidR="009C5BBD" w:rsidRPr="00E2541E" w:rsidRDefault="009C5BBD" w:rsidP="009C5BBD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:rsidR="009C5BBD" w:rsidRPr="004770D3" w:rsidRDefault="009C5BBD" w:rsidP="009C5BBD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</m:den>
          </m:f>
        </m:oMath>
      </m:oMathPara>
    </w:p>
    <w:p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3A6C0C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отношение към общата сума на </w:t>
      </w:r>
      <w:r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е по-близо съотношението </w:t>
      </w:r>
      <w:r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външно финансиране.</w:t>
      </w:r>
    </w:p>
    <w:p w:rsidR="009C5BBD" w:rsidRDefault="009C5BBD" w:rsidP="009C5BBD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:rsidR="009C5BBD" w:rsidRPr="00754AE5" w:rsidRDefault="009C5BBD" w:rsidP="009C5BBD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Оценка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За да бъде определено нивото (лошо или добро) на финансовата стабилност на кандидатите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9C5BBD" w:rsidRPr="0090257B" w:rsidTr="000715A3">
        <w:tc>
          <w:tcPr>
            <w:tcW w:w="3544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Индикатори</w:t>
            </w:r>
          </w:p>
        </w:tc>
        <w:tc>
          <w:tcPr>
            <w:tcW w:w="3119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9C5BBD" w:rsidRPr="0090257B" w:rsidTr="000715A3">
        <w:tc>
          <w:tcPr>
            <w:tcW w:w="3544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:rsidR="009C5BBD" w:rsidRPr="0090257B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9C5BBD" w:rsidRPr="0090257B" w:rsidTr="000715A3">
        <w:trPr>
          <w:cantSplit/>
        </w:trPr>
        <w:tc>
          <w:tcPr>
            <w:tcW w:w="3544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≥ 2%</w:t>
            </w:r>
          </w:p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2%</w:t>
            </w:r>
          </w:p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- 2%</w:t>
            </w:r>
          </w:p>
        </w:tc>
        <w:tc>
          <w:tcPr>
            <w:tcW w:w="1700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9C5BBD" w:rsidRDefault="009C5BBD" w:rsidP="009C5BBD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9C5BBD" w:rsidRPr="0090257B" w:rsidTr="000715A3">
        <w:tc>
          <w:tcPr>
            <w:tcW w:w="3402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9C5BBD" w:rsidRPr="0090257B" w:rsidTr="000715A3">
        <w:tc>
          <w:tcPr>
            <w:tcW w:w="3402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9C5BBD" w:rsidRPr="00754AE5" w:rsidRDefault="009C5BBD" w:rsidP="009C5BBD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Тълкуване на резултатите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основата на общата оценка кандидатите попадат в две основни категории: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1. Добра финансова стабилност</w:t>
      </w:r>
    </w:p>
    <w:p w:rsidR="009C5BBD" w:rsidRPr="0090257B" w:rsidRDefault="009C5BBD" w:rsidP="009C5BBD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финансова помощ при нисък риск за средствата </w:t>
      </w:r>
      <w:r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2. Лоша финансова стабилност</w:t>
      </w:r>
    </w:p>
    <w:p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та комисия отхвърля проектното предложение на кандидата на етап „Административно съответствие и допустимост“.</w:t>
      </w:r>
    </w:p>
    <w:p w:rsidR="00C4321A" w:rsidRPr="00480311" w:rsidRDefault="00C4321A" w:rsidP="0048031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321A" w:rsidRPr="00480311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28A" w:rsidRDefault="0059228A" w:rsidP="00B938A0">
      <w:pPr>
        <w:spacing w:after="0" w:line="240" w:lineRule="auto"/>
      </w:pPr>
      <w:r>
        <w:separator/>
      </w:r>
    </w:p>
  </w:endnote>
  <w:endnote w:type="continuationSeparator" w:id="0">
    <w:p w:rsidR="0059228A" w:rsidRDefault="0059228A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28A" w:rsidRDefault="0059228A" w:rsidP="00B938A0">
      <w:pPr>
        <w:spacing w:after="0" w:line="240" w:lineRule="auto"/>
      </w:pPr>
      <w:r>
        <w:separator/>
      </w:r>
    </w:p>
  </w:footnote>
  <w:footnote w:type="continuationSeparator" w:id="0">
    <w:p w:rsidR="0059228A" w:rsidRDefault="0059228A" w:rsidP="00B938A0">
      <w:pPr>
        <w:spacing w:after="0" w:line="240" w:lineRule="auto"/>
      </w:pPr>
      <w:r>
        <w:continuationSeparator/>
      </w:r>
    </w:p>
  </w:footnote>
  <w:footnote w:id="1">
    <w:p w:rsidR="009C5BBD" w:rsidRPr="00AA7520" w:rsidRDefault="009C5BBD" w:rsidP="009C5BBD">
      <w:pPr>
        <w:pStyle w:val="af0"/>
        <w:rPr>
          <w:lang w:val="bg-BG"/>
        </w:rPr>
      </w:pPr>
      <w:r>
        <w:rPr>
          <w:lang w:val="bg-BG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460"/>
    <w:rsid w:val="00011B1E"/>
    <w:rsid w:val="000229E1"/>
    <w:rsid w:val="00022D73"/>
    <w:rsid w:val="00025870"/>
    <w:rsid w:val="000330D5"/>
    <w:rsid w:val="0003315B"/>
    <w:rsid w:val="00067A31"/>
    <w:rsid w:val="000E595F"/>
    <w:rsid w:val="00102707"/>
    <w:rsid w:val="00106B39"/>
    <w:rsid w:val="00162BE1"/>
    <w:rsid w:val="001B39F2"/>
    <w:rsid w:val="001D41F5"/>
    <w:rsid w:val="001D5467"/>
    <w:rsid w:val="0021304A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A4DF2"/>
    <w:rsid w:val="003E50D7"/>
    <w:rsid w:val="003E5162"/>
    <w:rsid w:val="003F4DBC"/>
    <w:rsid w:val="00401CE9"/>
    <w:rsid w:val="00417DCE"/>
    <w:rsid w:val="004313F7"/>
    <w:rsid w:val="0045595E"/>
    <w:rsid w:val="004617B8"/>
    <w:rsid w:val="00471FC2"/>
    <w:rsid w:val="00480311"/>
    <w:rsid w:val="00492ACD"/>
    <w:rsid w:val="004E0E1E"/>
    <w:rsid w:val="004F2B1C"/>
    <w:rsid w:val="00512761"/>
    <w:rsid w:val="00540FE6"/>
    <w:rsid w:val="00550B6F"/>
    <w:rsid w:val="00553A92"/>
    <w:rsid w:val="005615DB"/>
    <w:rsid w:val="005751E8"/>
    <w:rsid w:val="0057652F"/>
    <w:rsid w:val="0059228A"/>
    <w:rsid w:val="005964EE"/>
    <w:rsid w:val="005A2CD6"/>
    <w:rsid w:val="005B1B90"/>
    <w:rsid w:val="005C3D7A"/>
    <w:rsid w:val="005E0E81"/>
    <w:rsid w:val="005E1B50"/>
    <w:rsid w:val="005E77DC"/>
    <w:rsid w:val="006369D2"/>
    <w:rsid w:val="0066504F"/>
    <w:rsid w:val="00683044"/>
    <w:rsid w:val="006939C0"/>
    <w:rsid w:val="006A5DDC"/>
    <w:rsid w:val="006E11C9"/>
    <w:rsid w:val="00720EC0"/>
    <w:rsid w:val="00722AEE"/>
    <w:rsid w:val="007352C8"/>
    <w:rsid w:val="00754AE5"/>
    <w:rsid w:val="007628C7"/>
    <w:rsid w:val="00786495"/>
    <w:rsid w:val="007A6DAD"/>
    <w:rsid w:val="007C36FB"/>
    <w:rsid w:val="007D4C04"/>
    <w:rsid w:val="007E2FC8"/>
    <w:rsid w:val="007E39A3"/>
    <w:rsid w:val="007E79C0"/>
    <w:rsid w:val="00811432"/>
    <w:rsid w:val="0082006C"/>
    <w:rsid w:val="00826A81"/>
    <w:rsid w:val="00852E58"/>
    <w:rsid w:val="00853BE3"/>
    <w:rsid w:val="008909E8"/>
    <w:rsid w:val="008951F9"/>
    <w:rsid w:val="008C4A97"/>
    <w:rsid w:val="008C56E2"/>
    <w:rsid w:val="00901460"/>
    <w:rsid w:val="0090257B"/>
    <w:rsid w:val="009264A6"/>
    <w:rsid w:val="00970883"/>
    <w:rsid w:val="00996CD1"/>
    <w:rsid w:val="009B6BA8"/>
    <w:rsid w:val="009C1D21"/>
    <w:rsid w:val="009C5BBD"/>
    <w:rsid w:val="009E4DD1"/>
    <w:rsid w:val="009E6616"/>
    <w:rsid w:val="009F4130"/>
    <w:rsid w:val="009F7052"/>
    <w:rsid w:val="00A12002"/>
    <w:rsid w:val="00A95996"/>
    <w:rsid w:val="00AC30D9"/>
    <w:rsid w:val="00B1472B"/>
    <w:rsid w:val="00B25DEA"/>
    <w:rsid w:val="00B54B0F"/>
    <w:rsid w:val="00B60166"/>
    <w:rsid w:val="00B938A0"/>
    <w:rsid w:val="00BA0182"/>
    <w:rsid w:val="00BA11D9"/>
    <w:rsid w:val="00BD3655"/>
    <w:rsid w:val="00BE205E"/>
    <w:rsid w:val="00BF0B9A"/>
    <w:rsid w:val="00BF6ADB"/>
    <w:rsid w:val="00C01AC6"/>
    <w:rsid w:val="00C4321A"/>
    <w:rsid w:val="00C46FB4"/>
    <w:rsid w:val="00C502A1"/>
    <w:rsid w:val="00C92B50"/>
    <w:rsid w:val="00CB189B"/>
    <w:rsid w:val="00CD287E"/>
    <w:rsid w:val="00CF1C47"/>
    <w:rsid w:val="00D10335"/>
    <w:rsid w:val="00D12140"/>
    <w:rsid w:val="00D274CD"/>
    <w:rsid w:val="00D56C7A"/>
    <w:rsid w:val="00D84194"/>
    <w:rsid w:val="00D86AD8"/>
    <w:rsid w:val="00D90B7C"/>
    <w:rsid w:val="00DC6AA5"/>
    <w:rsid w:val="00DE6775"/>
    <w:rsid w:val="00E15C50"/>
    <w:rsid w:val="00E441C4"/>
    <w:rsid w:val="00E83B40"/>
    <w:rsid w:val="00ED38A4"/>
    <w:rsid w:val="00F1576F"/>
    <w:rsid w:val="00F31669"/>
    <w:rsid w:val="00F34A34"/>
    <w:rsid w:val="00F52830"/>
    <w:rsid w:val="00F63B61"/>
    <w:rsid w:val="00F66FFC"/>
    <w:rsid w:val="00F72A0E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7D83C-6469-4F8D-824E-11151D55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803FD-BFB8-4A50-B579-19DE4575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Krasa</cp:lastModifiedBy>
  <cp:revision>2</cp:revision>
  <dcterms:created xsi:type="dcterms:W3CDTF">2019-07-29T13:41:00Z</dcterms:created>
  <dcterms:modified xsi:type="dcterms:W3CDTF">2019-07-29T13:41:00Z</dcterms:modified>
</cp:coreProperties>
</file>